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Para más información, por favor contactar: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0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15"/>
        <w:gridCol w:w="4770"/>
        <w:tblGridChange w:id="0">
          <w:tblGrid>
            <w:gridCol w:w="4315"/>
            <w:gridCol w:w="4770"/>
          </w:tblGrid>
        </w:tblGridChange>
      </w:tblGrid>
      <w:tr>
        <w:trPr>
          <w:cantSplit w:val="0"/>
          <w:tblHeader w:val="0"/>
        </w:trPr>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Relación con Medios:  </w:t>
            </w:r>
          </w:p>
        </w:tc>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Contacto Adicional: </w:t>
            </w:r>
          </w:p>
        </w:tc>
      </w:tr>
      <w:tr>
        <w:trPr>
          <w:cantSplit w:val="0"/>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sz w:val="20"/>
                <w:szCs w:val="20"/>
                <w:rtl w:val="0"/>
              </w:rPr>
              <w:t xml:space="preserve">Ameyalli Sampedro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sz w:val="20"/>
                <w:szCs w:val="20"/>
                <w:rtl w:val="0"/>
              </w:rPr>
              <w:t xml:space="preserve">Sr. PR Executive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sz w:val="20"/>
                <w:szCs w:val="20"/>
                <w:rtl w:val="0"/>
              </w:rPr>
              <w:t xml:space="preserve">Another Company</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sz w:val="20"/>
                <w:szCs w:val="20"/>
                <w:rtl w:val="0"/>
              </w:rPr>
              <w:t xml:space="preserve">55 23659465</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sz w:val="20"/>
                <w:szCs w:val="20"/>
                <w:rtl w:val="0"/>
              </w:rPr>
              <w:t xml:space="preserve">ameyalli.sampedro@another.co</w:t>
            </w:r>
            <w:r w:rsidDel="00000000" w:rsidR="00000000" w:rsidRPr="00000000">
              <w:rPr>
                <w:rtl w:val="0"/>
              </w:rPr>
            </w:r>
          </w:p>
        </w:tc>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sz w:val="20"/>
                <w:szCs w:val="20"/>
                <w:rtl w:val="0"/>
              </w:rPr>
              <w:t xml:space="preserve">Brian Hernández Granados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sz w:val="20"/>
                <w:szCs w:val="20"/>
                <w:rtl w:val="0"/>
              </w:rPr>
              <w:t xml:space="preserve">Account Executive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sz w:val="20"/>
                <w:szCs w:val="20"/>
                <w:rtl w:val="0"/>
              </w:rPr>
              <w:t xml:space="preserve">Another Company</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55 40112641</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brian.hernandez@another.co</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Open Sans" w:cs="Open Sans" w:eastAsia="Open Sans" w:hAnsi="Open Sans"/>
          <w:b w:val="1"/>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1"/>
          <w:i w:val="0"/>
          <w:smallCaps w:val="0"/>
          <w:strike w:val="0"/>
          <w:color w:val="000000"/>
          <w:sz w:val="28"/>
          <w:szCs w:val="28"/>
          <w:u w:val="none"/>
          <w:shd w:fill="auto" w:val="clear"/>
          <w:vertAlign w:val="baseline"/>
          <w:rtl w:val="0"/>
        </w:rPr>
        <w:t xml:space="preserve">El Reporte de Responsabilidad Social Corporativa de Fiserv Detalla  Compromiso con la Gente, el Medio Ambiente y Sólida Gobernanza Corporativa</w:t>
      </w:r>
    </w:p>
    <w:p w:rsidR="00000000" w:rsidDel="00000000" w:rsidP="00000000" w:rsidRDefault="00000000" w:rsidRPr="00000000" w14:paraId="00000014">
      <w:pPr>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rPr>
          <w:rFonts w:ascii="Open Sans" w:cs="Open Sans" w:eastAsia="Open Sans" w:hAnsi="Open Sans"/>
        </w:rPr>
      </w:pPr>
      <w:r w:rsidDel="00000000" w:rsidR="00000000" w:rsidRPr="00000000">
        <w:rPr>
          <w:rFonts w:ascii="Open Sans" w:cs="Open Sans" w:eastAsia="Open Sans" w:hAnsi="Open Sans"/>
          <w:b w:val="1"/>
          <w:rtl w:val="0"/>
        </w:rPr>
        <w:t xml:space="preserve">BROOKFIELD, Wis., 2 de mayo de 2022</w:t>
      </w:r>
      <w:r w:rsidDel="00000000" w:rsidR="00000000" w:rsidRPr="00000000">
        <w:rPr>
          <w:rFonts w:ascii="Open Sans" w:cs="Open Sans" w:eastAsia="Open Sans" w:hAnsi="Open Sans"/>
          <w:rtl w:val="0"/>
        </w:rPr>
        <w:t xml:space="preserve"> – </w:t>
      </w:r>
      <w:hyperlink r:id="rId7">
        <w:r w:rsidDel="00000000" w:rsidR="00000000" w:rsidRPr="00000000">
          <w:rPr>
            <w:rFonts w:ascii="Open Sans" w:cs="Open Sans" w:eastAsia="Open Sans" w:hAnsi="Open Sans"/>
            <w:color w:val="0563c1"/>
            <w:u w:val="single"/>
            <w:rtl w:val="0"/>
          </w:rPr>
          <w:t xml:space="preserve">Fiserv, Inc.</w:t>
        </w:r>
      </w:hyperlink>
      <w:r w:rsidDel="00000000" w:rsidR="00000000" w:rsidRPr="00000000">
        <w:rPr>
          <w:rFonts w:ascii="Open Sans" w:cs="Open Sans" w:eastAsia="Open Sans" w:hAnsi="Open Sans"/>
          <w:rtl w:val="0"/>
        </w:rPr>
        <w:t xml:space="preserve"> (NASDAQ: FISV), un proveedor global líder de soluciones tecnológicas de pagos y servicios financieros, dio a conocer hoy su </w:t>
      </w:r>
      <w:hyperlink r:id="rId8">
        <w:r w:rsidDel="00000000" w:rsidR="00000000" w:rsidRPr="00000000">
          <w:rPr>
            <w:rFonts w:ascii="Open Sans" w:cs="Open Sans" w:eastAsia="Open Sans" w:hAnsi="Open Sans"/>
            <w:color w:val="0563c1"/>
            <w:u w:val="single"/>
            <w:rtl w:val="0"/>
          </w:rPr>
          <w:t xml:space="preserve">Reporte de Responsabilidad Social Corporativa (RSC)</w:t>
        </w:r>
      </w:hyperlink>
      <w:r w:rsidDel="00000000" w:rsidR="00000000" w:rsidRPr="00000000">
        <w:rPr>
          <w:rFonts w:ascii="Open Sans" w:cs="Open Sans" w:eastAsia="Open Sans" w:hAnsi="Open Sans"/>
          <w:rtl w:val="0"/>
        </w:rPr>
        <w:t xml:space="preserve"> 2021, perfilando su enfoque proactivo para empoderar a las personas, avanzar las comunidades, defender las prácticas de negocio responsables e invertir en sistemas sostenibles para crear resultados positivos.</w:t>
      </w:r>
    </w:p>
    <w:p w:rsidR="00000000" w:rsidDel="00000000" w:rsidP="00000000" w:rsidRDefault="00000000" w:rsidRPr="00000000" w14:paraId="00000016">
      <w:pPr>
        <w:rPr>
          <w:rFonts w:ascii="Open Sans" w:cs="Open Sans" w:eastAsia="Open Sans" w:hAnsi="Open Sans"/>
        </w:rPr>
      </w:pPr>
      <w:r w:rsidDel="00000000" w:rsidR="00000000" w:rsidRPr="00000000">
        <w:rPr>
          <w:rFonts w:ascii="Open Sans" w:cs="Open Sans" w:eastAsia="Open Sans" w:hAnsi="Open Sans"/>
          <w:rtl w:val="0"/>
        </w:rPr>
        <w:t xml:space="preserve">El reporte de 2021 se alinea con los estándares de reportes del Consejo de Estándares de Contabilidad Sostenible (SASB) y de la Iniciativa Global de Reportes (GRI) y destaca los logros dentro de cuatro pilares medio ambientales, sociales y de gobernanza corporativa (ESG, por sus siglas en inglés).</w:t>
      </w:r>
    </w:p>
    <w:p w:rsidR="00000000" w:rsidDel="00000000" w:rsidP="00000000" w:rsidRDefault="00000000" w:rsidRPr="00000000" w14:paraId="00000017">
      <w:pPr>
        <w:rPr>
          <w:rFonts w:ascii="Open Sans" w:cs="Open Sans" w:eastAsia="Open Sans" w:hAnsi="Open Sans"/>
        </w:rPr>
      </w:pPr>
      <w:r w:rsidDel="00000000" w:rsidR="00000000" w:rsidRPr="00000000">
        <w:rPr>
          <w:rFonts w:ascii="Open Sans" w:cs="Open Sans" w:eastAsia="Open Sans" w:hAnsi="Open Sans"/>
          <w:rtl w:val="0"/>
        </w:rPr>
        <w:t xml:space="preserve">"Nuestro enfoque a la responsabilidad social corporativa refleja nuestra presencia global y está integrado en la manera en que brindamos soluciones y servicios diariamente como parte del tejido de la vida financiera de las personas", dijo Neil Wilcox, Director de Responsabilidad Social Corporativa de Fiserv. "Estamos avanzando nuestros programas de RSC y reportes de ESG y alentando el compromiso de nuestros asociados en la medida en que buscamos llevar hacia adelante nuestras comunidades y sociedad en un modo significativo e impactante".</w:t>
      </w:r>
    </w:p>
    <w:p w:rsidR="00000000" w:rsidDel="00000000" w:rsidP="00000000" w:rsidRDefault="00000000" w:rsidRPr="00000000" w14:paraId="00000018">
      <w:pPr>
        <w:rPr>
          <w:rFonts w:ascii="Open Sans" w:cs="Open Sans" w:eastAsia="Open Sans" w:hAnsi="Open Sans"/>
        </w:rPr>
      </w:pPr>
      <w:r w:rsidDel="00000000" w:rsidR="00000000" w:rsidRPr="00000000">
        <w:rPr>
          <w:rFonts w:ascii="Open Sans" w:cs="Open Sans" w:eastAsia="Open Sans" w:hAnsi="Open Sans"/>
          <w:b w:val="1"/>
          <w:rtl w:val="0"/>
        </w:rPr>
        <w:t xml:space="preserve">Empoderando a las Personas </w:t>
      </w:r>
      <w:r w:rsidDel="00000000" w:rsidR="00000000" w:rsidRPr="00000000">
        <w:rPr>
          <w:rtl w:val="0"/>
        </w:rPr>
      </w:r>
    </w:p>
    <w:p w:rsidR="00000000" w:rsidDel="00000000" w:rsidP="00000000" w:rsidRDefault="00000000" w:rsidRPr="00000000" w14:paraId="00000019">
      <w:pPr>
        <w:rPr>
          <w:rFonts w:ascii="Open Sans" w:cs="Open Sans" w:eastAsia="Open Sans" w:hAnsi="Open Sans"/>
        </w:rPr>
      </w:pPr>
      <w:r w:rsidDel="00000000" w:rsidR="00000000" w:rsidRPr="00000000">
        <w:rPr>
          <w:rFonts w:ascii="Open Sans" w:cs="Open Sans" w:eastAsia="Open Sans" w:hAnsi="Open Sans"/>
          <w:rtl w:val="0"/>
        </w:rPr>
        <w:t xml:space="preserve">La diversidad y la inclusión son esenciales para crear un entorno de trabajo innovador e inclusivo en Fiserv. Globalmente, el 27% del alto liderazgo es femenino, y en los Estados Unidos (EE. UU.) el 34% de su fuerza laboral es racial o étnicamente diversa. </w:t>
      </w:r>
    </w:p>
    <w:p w:rsidR="00000000" w:rsidDel="00000000" w:rsidP="00000000" w:rsidRDefault="00000000" w:rsidRPr="00000000" w14:paraId="0000001A">
      <w:pPr>
        <w:rPr>
          <w:rFonts w:ascii="Open Sans" w:cs="Open Sans" w:eastAsia="Open Sans" w:hAnsi="Open Sans"/>
        </w:rPr>
      </w:pPr>
      <w:r w:rsidDel="00000000" w:rsidR="00000000" w:rsidRPr="00000000">
        <w:rPr>
          <w:rFonts w:ascii="Open Sans" w:cs="Open Sans" w:eastAsia="Open Sans" w:hAnsi="Open Sans"/>
          <w:rtl w:val="0"/>
        </w:rPr>
        <w:t xml:space="preserve">Fiserv ha establecido sólidas asociaciones con colegios y universidades históricamente negros, así como con la Asociación Nacional Negra de MBA (</w:t>
      </w:r>
      <w:r w:rsidDel="00000000" w:rsidR="00000000" w:rsidRPr="00000000">
        <w:rPr>
          <w:rFonts w:ascii="Open Sans" w:cs="Open Sans" w:eastAsia="Open Sans" w:hAnsi="Open Sans"/>
          <w:i w:val="1"/>
          <w:rtl w:val="0"/>
        </w:rPr>
        <w:t xml:space="preserve">National Black MBA Association</w:t>
      </w:r>
      <w:r w:rsidDel="00000000" w:rsidR="00000000" w:rsidRPr="00000000">
        <w:rPr>
          <w:rFonts w:ascii="Open Sans" w:cs="Open Sans" w:eastAsia="Open Sans" w:hAnsi="Open Sans"/>
          <w:rtl w:val="0"/>
        </w:rPr>
        <w:t xml:space="preserve">), creando así un portafolio de candidatos diversos para futuros roles financieros. Fiserv ha sido galardonada con la Antorcha de Plata 2021 (</w:t>
      </w:r>
      <w:r w:rsidDel="00000000" w:rsidR="00000000" w:rsidRPr="00000000">
        <w:rPr>
          <w:rFonts w:ascii="Open Sans" w:cs="Open Sans" w:eastAsia="Open Sans" w:hAnsi="Open Sans"/>
          <w:i w:val="1"/>
          <w:rtl w:val="0"/>
        </w:rPr>
        <w:t xml:space="preserve">2021 Silver Torch</w:t>
      </w:r>
      <w:r w:rsidDel="00000000" w:rsidR="00000000" w:rsidRPr="00000000">
        <w:rPr>
          <w:rFonts w:ascii="Open Sans" w:cs="Open Sans" w:eastAsia="Open Sans" w:hAnsi="Open Sans"/>
          <w:rtl w:val="0"/>
        </w:rPr>
        <w:t xml:space="preserve">) en reconocimiento a sus esfuerzos por promover la igualdad de oportunidades entre los profesionales de minorías.</w:t>
      </w:r>
    </w:p>
    <w:p w:rsidR="00000000" w:rsidDel="00000000" w:rsidP="00000000" w:rsidRDefault="00000000" w:rsidRPr="00000000" w14:paraId="0000001B">
      <w:pPr>
        <w:rPr>
          <w:rFonts w:ascii="Open Sans" w:cs="Open Sans" w:eastAsia="Open Sans" w:hAnsi="Open Sans"/>
        </w:rPr>
      </w:pPr>
      <w:r w:rsidDel="00000000" w:rsidR="00000000" w:rsidRPr="00000000">
        <w:rPr>
          <w:rFonts w:ascii="Open Sans" w:cs="Open Sans" w:eastAsia="Open Sans" w:hAnsi="Open Sans"/>
          <w:rtl w:val="0"/>
        </w:rPr>
        <w:t xml:space="preserve">Fiserv da la bienvenida activamente a los veteranos en su fuerza laboral a través de su programa de compromiso con la comunidad militar, </w:t>
      </w:r>
      <w:hyperlink r:id="rId9">
        <w:r w:rsidDel="00000000" w:rsidR="00000000" w:rsidRPr="00000000">
          <w:rPr>
            <w:rFonts w:ascii="Open Sans" w:cs="Open Sans" w:eastAsia="Open Sans" w:hAnsi="Open Sans"/>
            <w:color w:val="0563c1"/>
            <w:u w:val="single"/>
            <w:rtl w:val="0"/>
          </w:rPr>
          <w:t xml:space="preserve">Fiserv Salutes</w:t>
        </w:r>
      </w:hyperlink>
      <w:r w:rsidDel="00000000" w:rsidR="00000000" w:rsidRPr="00000000">
        <w:rPr>
          <w:rFonts w:ascii="Open Sans" w:cs="Open Sans" w:eastAsia="Open Sans" w:hAnsi="Open Sans"/>
          <w:rtl w:val="0"/>
        </w:rPr>
        <w:t xml:space="preserve">, y recibió numerosos reconocimientos en 2021, incluyendo su inclusión en la lista de los Mejores Empleadores para Veteranos de Forbes.</w:t>
      </w:r>
    </w:p>
    <w:p w:rsidR="00000000" w:rsidDel="00000000" w:rsidP="00000000" w:rsidRDefault="00000000" w:rsidRPr="00000000" w14:paraId="0000001C">
      <w:pPr>
        <w:rPr>
          <w:rFonts w:ascii="Open Sans" w:cs="Open Sans" w:eastAsia="Open Sans" w:hAnsi="Open Sans"/>
        </w:rPr>
      </w:pPr>
      <w:r w:rsidDel="00000000" w:rsidR="00000000" w:rsidRPr="00000000">
        <w:rPr>
          <w:rFonts w:ascii="Open Sans" w:cs="Open Sans" w:eastAsia="Open Sans" w:hAnsi="Open Sans"/>
          <w:rtl w:val="0"/>
        </w:rPr>
        <w:t xml:space="preserve">El Fondo </w:t>
      </w:r>
      <w:r w:rsidDel="00000000" w:rsidR="00000000" w:rsidRPr="00000000">
        <w:rPr>
          <w:rFonts w:ascii="Open Sans" w:cs="Open Sans" w:eastAsia="Open Sans" w:hAnsi="Open Sans"/>
          <w:i w:val="1"/>
          <w:rtl w:val="0"/>
        </w:rPr>
        <w:t xml:space="preserve">Fiserv Cares</w:t>
      </w:r>
      <w:r w:rsidDel="00000000" w:rsidR="00000000" w:rsidRPr="00000000">
        <w:rPr>
          <w:rFonts w:ascii="Open Sans" w:cs="Open Sans" w:eastAsia="Open Sans" w:hAnsi="Open Sans"/>
          <w:rtl w:val="0"/>
        </w:rPr>
        <w:t xml:space="preserve"> proporcionó subvenciones caritativas a asociados que experimentaron dificultades debido a desastres calificados, así como a organizaciones caritativas en las comunidades donde los asociados de Fiserv viven y trabajan.</w:t>
      </w:r>
    </w:p>
    <w:p w:rsidR="00000000" w:rsidDel="00000000" w:rsidP="00000000" w:rsidRDefault="00000000" w:rsidRPr="00000000" w14:paraId="0000001D">
      <w:pPr>
        <w:rPr>
          <w:rFonts w:ascii="Open Sans" w:cs="Open Sans" w:eastAsia="Open Sans" w:hAnsi="Open Sans"/>
          <w:b w:val="1"/>
        </w:rPr>
      </w:pPr>
      <w:r w:rsidDel="00000000" w:rsidR="00000000" w:rsidRPr="00000000">
        <w:rPr>
          <w:rFonts w:ascii="Open Sans" w:cs="Open Sans" w:eastAsia="Open Sans" w:hAnsi="Open Sans"/>
          <w:b w:val="1"/>
          <w:rtl w:val="0"/>
        </w:rPr>
        <w:t xml:space="preserve">Avanzando Comunidades y Sociedad </w:t>
      </w:r>
    </w:p>
    <w:p w:rsidR="00000000" w:rsidDel="00000000" w:rsidP="00000000" w:rsidRDefault="00000000" w:rsidRPr="00000000" w14:paraId="0000001E">
      <w:pPr>
        <w:rPr>
          <w:rFonts w:ascii="Open Sans" w:cs="Open Sans" w:eastAsia="Open Sans" w:hAnsi="Open Sans"/>
        </w:rPr>
      </w:pPr>
      <w:r w:rsidDel="00000000" w:rsidR="00000000" w:rsidRPr="00000000">
        <w:rPr>
          <w:rFonts w:ascii="Open Sans" w:cs="Open Sans" w:eastAsia="Open Sans" w:hAnsi="Open Sans"/>
          <w:rtl w:val="0"/>
        </w:rPr>
        <w:t xml:space="preserve">Fiserv cree que su plataforma y alcance global pueden crear un cambio positivo en las comunidades en las que opera. En 2021, la iniciativa de Fiserv </w:t>
      </w:r>
      <w:hyperlink r:id="rId10">
        <w:r w:rsidDel="00000000" w:rsidR="00000000" w:rsidRPr="00000000">
          <w:rPr>
            <w:rFonts w:ascii="Open Sans" w:cs="Open Sans" w:eastAsia="Open Sans" w:hAnsi="Open Sans"/>
            <w:color w:val="0563c1"/>
            <w:u w:val="single"/>
            <w:rtl w:val="0"/>
          </w:rPr>
          <w:t xml:space="preserve">Back2Business</w:t>
        </w:r>
      </w:hyperlink>
      <w:r w:rsidDel="00000000" w:rsidR="00000000" w:rsidRPr="00000000">
        <w:rPr>
          <w:rFonts w:ascii="Open Sans" w:cs="Open Sans" w:eastAsia="Open Sans" w:hAnsi="Open Sans"/>
          <w:rtl w:val="0"/>
        </w:rPr>
        <w:t xml:space="preserve">, que inicialmente destinó $10 millones para apoyar a los pequeños negocios de minorías impactadas negativamente por la pandemia, se incrementó a $50 millones. A la fecha, Back2Business ha otorgado más de 1,400 subvenciones de $10,000 cada una en los EE. UU. y el Reino Unido.</w:t>
      </w:r>
    </w:p>
    <w:p w:rsidR="00000000" w:rsidDel="00000000" w:rsidP="00000000" w:rsidRDefault="00000000" w:rsidRPr="00000000" w14:paraId="0000001F">
      <w:pPr>
        <w:rPr>
          <w:rFonts w:ascii="Open Sans" w:cs="Open Sans" w:eastAsia="Open Sans" w:hAnsi="Open Sans"/>
        </w:rPr>
      </w:pPr>
      <w:r w:rsidDel="00000000" w:rsidR="00000000" w:rsidRPr="00000000">
        <w:rPr>
          <w:rFonts w:ascii="Open Sans" w:cs="Open Sans" w:eastAsia="Open Sans" w:hAnsi="Open Sans"/>
          <w:rtl w:val="0"/>
        </w:rPr>
        <w:t xml:space="preserve">Más allá de Back2Business, las donaciones filantrópicas de Fiserv suman más de $6 millones a más de 180 organizaciones globalmente. Durante la campaña de la compañía </w:t>
      </w:r>
      <w:r w:rsidDel="00000000" w:rsidR="00000000" w:rsidRPr="00000000">
        <w:rPr>
          <w:rFonts w:ascii="Open Sans" w:cs="Open Sans" w:eastAsia="Open Sans" w:hAnsi="Open Sans"/>
          <w:i w:val="1"/>
          <w:rtl w:val="0"/>
        </w:rPr>
        <w:t xml:space="preserve">Season of Giving</w:t>
      </w:r>
      <w:r w:rsidDel="00000000" w:rsidR="00000000" w:rsidRPr="00000000">
        <w:rPr>
          <w:rFonts w:ascii="Open Sans" w:cs="Open Sans" w:eastAsia="Open Sans" w:hAnsi="Open Sans"/>
          <w:rtl w:val="0"/>
        </w:rPr>
        <w:t xml:space="preserve">, los asociados, junto con una donación corporativa por la misma cantidad, donaron casi $600,000 a más de 1,200 grupos comunitarios y dedicaron más de 3,500 horas de voluntariado. Utilizando el portal </w:t>
      </w:r>
      <w:r w:rsidDel="00000000" w:rsidR="00000000" w:rsidRPr="00000000">
        <w:rPr>
          <w:rFonts w:ascii="Open Sans" w:cs="Open Sans" w:eastAsia="Open Sans" w:hAnsi="Open Sans"/>
          <w:i w:val="1"/>
          <w:rtl w:val="0"/>
        </w:rPr>
        <w:t xml:space="preserve">Fiserv Gives Back</w:t>
      </w:r>
      <w:r w:rsidDel="00000000" w:rsidR="00000000" w:rsidRPr="00000000">
        <w:rPr>
          <w:rFonts w:ascii="Open Sans" w:cs="Open Sans" w:eastAsia="Open Sans" w:hAnsi="Open Sans"/>
          <w:rtl w:val="0"/>
        </w:rPr>
        <w:t xml:space="preserve">, los asociados donaron casi $1 millón y más de 8,000 horas de voluntariado a más de 2,000 causas.</w:t>
      </w:r>
    </w:p>
    <w:p w:rsidR="00000000" w:rsidDel="00000000" w:rsidP="00000000" w:rsidRDefault="00000000" w:rsidRPr="00000000" w14:paraId="00000020">
      <w:pPr>
        <w:rPr>
          <w:rFonts w:ascii="Open Sans" w:cs="Open Sans" w:eastAsia="Open Sans" w:hAnsi="Open Sans"/>
        </w:rPr>
      </w:pPr>
      <w:r w:rsidDel="00000000" w:rsidR="00000000" w:rsidRPr="00000000">
        <w:rPr>
          <w:rFonts w:ascii="Open Sans" w:cs="Open Sans" w:eastAsia="Open Sans" w:hAnsi="Open Sans"/>
          <w:rtl w:val="0"/>
        </w:rPr>
        <w:t xml:space="preserve">Las oficinas de Fiserv en Colombia, México y Panamá están enfocadas en apoyar a tres organizaciones sin fines de lucro: </w:t>
      </w:r>
      <w:hyperlink r:id="rId11">
        <w:r w:rsidDel="00000000" w:rsidR="00000000" w:rsidRPr="00000000">
          <w:rPr>
            <w:rFonts w:ascii="Open Sans" w:cs="Open Sans" w:eastAsia="Open Sans" w:hAnsi="Open Sans"/>
            <w:color w:val="0563c1"/>
            <w:u w:val="single"/>
            <w:rtl w:val="0"/>
          </w:rPr>
          <w:t xml:space="preserve">Fundación Cultivando Sonrisas</w:t>
        </w:r>
      </w:hyperlink>
      <w:r w:rsidDel="00000000" w:rsidR="00000000" w:rsidRPr="00000000">
        <w:rPr>
          <w:rFonts w:ascii="Open Sans" w:cs="Open Sans" w:eastAsia="Open Sans" w:hAnsi="Open Sans"/>
          <w:rtl w:val="0"/>
        </w:rPr>
        <w:t xml:space="preserve">, que provee hogares seguros para niñas en alto riesgo social; </w:t>
      </w:r>
      <w:hyperlink r:id="rId12">
        <w:r w:rsidDel="00000000" w:rsidR="00000000" w:rsidRPr="00000000">
          <w:rPr>
            <w:rFonts w:ascii="Open Sans" w:cs="Open Sans" w:eastAsia="Open Sans" w:hAnsi="Open Sans"/>
            <w:color w:val="0563c1"/>
            <w:u w:val="single"/>
            <w:rtl w:val="0"/>
          </w:rPr>
          <w:t xml:space="preserve">Nutre a un Niño</w:t>
        </w:r>
      </w:hyperlink>
      <w:r w:rsidDel="00000000" w:rsidR="00000000" w:rsidRPr="00000000">
        <w:rPr>
          <w:rFonts w:ascii="Open Sans" w:cs="Open Sans" w:eastAsia="Open Sans" w:hAnsi="Open Sans"/>
          <w:rtl w:val="0"/>
        </w:rPr>
        <w:t xml:space="preserve">, que trabaja con comunidades rurales para asistir con proyectos que contribuyan al desarrollo social, económico y del medio ambiente; y </w:t>
      </w:r>
      <w:hyperlink r:id="rId13">
        <w:r w:rsidDel="00000000" w:rsidR="00000000" w:rsidRPr="00000000">
          <w:rPr>
            <w:rFonts w:ascii="Open Sans" w:cs="Open Sans" w:eastAsia="Open Sans" w:hAnsi="Open Sans"/>
            <w:color w:val="0563c1"/>
            <w:u w:val="single"/>
            <w:rtl w:val="0"/>
          </w:rPr>
          <w:t xml:space="preserve">Fundación Puertas Abiertas</w:t>
        </w:r>
      </w:hyperlink>
      <w:r w:rsidDel="00000000" w:rsidR="00000000" w:rsidRPr="00000000">
        <w:rPr>
          <w:rFonts w:ascii="Open Sans" w:cs="Open Sans" w:eastAsia="Open Sans" w:hAnsi="Open Sans"/>
          <w:rtl w:val="0"/>
        </w:rPr>
        <w:t xml:space="preserve">, que ayuda a poblaciones privadas de comida al darles acceso a una nutrición de calidad.  </w:t>
      </w:r>
    </w:p>
    <w:p w:rsidR="00000000" w:rsidDel="00000000" w:rsidP="00000000" w:rsidRDefault="00000000" w:rsidRPr="00000000" w14:paraId="00000021">
      <w:pPr>
        <w:rPr>
          <w:rFonts w:ascii="Open Sans" w:cs="Open Sans" w:eastAsia="Open Sans" w:hAnsi="Open Sans"/>
        </w:rPr>
      </w:pPr>
      <w:r w:rsidDel="00000000" w:rsidR="00000000" w:rsidRPr="00000000">
        <w:rPr>
          <w:rFonts w:ascii="Open Sans" w:cs="Open Sans" w:eastAsia="Open Sans" w:hAnsi="Open Sans"/>
          <w:rtl w:val="0"/>
        </w:rPr>
        <w:t xml:space="preserve">Fiserv también se asocia con un número de organizaciones filantrópicas y grupos comunitarios para brindar programas diseñados para apoyar a las pequeñas empresas. En asociación con el Instituto para Veteranos y Familias Militares (IVMF) de la Universidad de Syracuse, Fiserv es miembro fundador de la Coalición para Negocios de Veteranos (CVOB), una iniciativa nacional primera en su tipo para apoyar el éxito de las empresas de veteranos, miembros del servicio militar y cónyuges de militares.</w:t>
      </w:r>
    </w:p>
    <w:p w:rsidR="00000000" w:rsidDel="00000000" w:rsidP="00000000" w:rsidRDefault="00000000" w:rsidRPr="00000000" w14:paraId="00000022">
      <w:pPr>
        <w:rPr>
          <w:rFonts w:ascii="Calibri" w:cs="Calibri" w:eastAsia="Calibri" w:hAnsi="Calibri"/>
          <w:b w:val="1"/>
        </w:rPr>
      </w:pPr>
      <w:r w:rsidDel="00000000" w:rsidR="00000000" w:rsidRPr="00000000">
        <w:rPr>
          <w:rFonts w:ascii="Open Sans" w:cs="Open Sans" w:eastAsia="Open Sans" w:hAnsi="Open Sans"/>
          <w:b w:val="1"/>
          <w:rtl w:val="0"/>
        </w:rPr>
        <w:t xml:space="preserve">Defendiendo Prácticas de Negocio Responsables </w:t>
      </w:r>
      <w:r w:rsidDel="00000000" w:rsidR="00000000" w:rsidRPr="00000000">
        <w:rPr>
          <w:rtl w:val="0"/>
        </w:rPr>
      </w:r>
    </w:p>
    <w:p w:rsidR="00000000" w:rsidDel="00000000" w:rsidP="00000000" w:rsidRDefault="00000000" w:rsidRPr="00000000" w14:paraId="00000023">
      <w:pPr>
        <w:rPr>
          <w:rFonts w:ascii="Open Sans" w:cs="Open Sans" w:eastAsia="Open Sans" w:hAnsi="Open Sans"/>
        </w:rPr>
      </w:pPr>
      <w:r w:rsidDel="00000000" w:rsidR="00000000" w:rsidRPr="00000000">
        <w:rPr>
          <w:rFonts w:ascii="Open Sans" w:cs="Open Sans" w:eastAsia="Open Sans" w:hAnsi="Open Sans"/>
          <w:rtl w:val="0"/>
        </w:rPr>
        <w:t xml:space="preserve">Destacando la importancia de ESG para los negocios, el consejo directivo de Fiserv modificó su estatuto del comité de nominación y gobierno corporativo para formalizar la supervisión del comité de los programas, políticas, divulgaciones y reportes de ESG, y la responsabilidad de identificar, evaluar y monitorear las tendencias, oportunidades y riesgos relacionados con ESG que puedan afectar materialmente a la compañía. Adicionalmente, el comité de talento y compensación es responsable de supervisar la estrategia de capital humano, incluso con respecto a la diversidad, la equidad y la inclusión, el compromiso con el talento y la cultura.</w:t>
      </w:r>
    </w:p>
    <w:p w:rsidR="00000000" w:rsidDel="00000000" w:rsidP="00000000" w:rsidRDefault="00000000" w:rsidRPr="00000000" w14:paraId="00000024">
      <w:pPr>
        <w:rPr>
          <w:rFonts w:ascii="Open Sans" w:cs="Open Sans" w:eastAsia="Open Sans" w:hAnsi="Open Sans"/>
        </w:rPr>
      </w:pPr>
      <w:r w:rsidDel="00000000" w:rsidR="00000000" w:rsidRPr="00000000">
        <w:rPr>
          <w:rFonts w:ascii="Open Sans" w:cs="Open Sans" w:eastAsia="Open Sans" w:hAnsi="Open Sans"/>
          <w:rtl w:val="0"/>
        </w:rPr>
        <w:t xml:space="preserve">Es primordial que Fiserv y sus asociados operen de manera ética para servir de la mejor manera a sus clientes, comunidades, socios y compañeros asociados. Todos los asociados de Fiserv deben participar en una capacitación anti soborno y corrupción, y Fiserv se opone a los abusos laborales como se estipula en su </w:t>
      </w:r>
      <w:hyperlink r:id="rId14">
        <w:r w:rsidDel="00000000" w:rsidR="00000000" w:rsidRPr="00000000">
          <w:rPr>
            <w:rFonts w:ascii="Open Sans" w:cs="Open Sans" w:eastAsia="Open Sans" w:hAnsi="Open Sans"/>
            <w:color w:val="0563c1"/>
            <w:u w:val="single"/>
            <w:rtl w:val="0"/>
          </w:rPr>
          <w:t xml:space="preserve">Declaración de Esclavitud Moderna</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5">
      <w:pPr>
        <w:rPr>
          <w:rFonts w:ascii="Open Sans" w:cs="Open Sans" w:eastAsia="Open Sans" w:hAnsi="Open Sans"/>
          <w:b w:val="1"/>
        </w:rPr>
      </w:pPr>
      <w:r w:rsidDel="00000000" w:rsidR="00000000" w:rsidRPr="00000000">
        <w:rPr>
          <w:rFonts w:ascii="Open Sans" w:cs="Open Sans" w:eastAsia="Open Sans" w:hAnsi="Open Sans"/>
          <w:b w:val="1"/>
          <w:rtl w:val="0"/>
        </w:rPr>
        <w:t xml:space="preserve">Invirtiendo en Sistemas Sostenibles </w:t>
      </w:r>
    </w:p>
    <w:p w:rsidR="00000000" w:rsidDel="00000000" w:rsidP="00000000" w:rsidRDefault="00000000" w:rsidRPr="00000000" w14:paraId="00000026">
      <w:pPr>
        <w:rPr>
          <w:rFonts w:ascii="Open Sans" w:cs="Open Sans" w:eastAsia="Open Sans" w:hAnsi="Open Sans"/>
        </w:rPr>
      </w:pPr>
      <w:r w:rsidDel="00000000" w:rsidR="00000000" w:rsidRPr="00000000">
        <w:rPr>
          <w:rFonts w:ascii="Open Sans" w:cs="Open Sans" w:eastAsia="Open Sans" w:hAnsi="Open Sans"/>
          <w:rtl w:val="0"/>
        </w:rPr>
        <w:t xml:space="preserve">Los esfuerzos para reducir el consumo de energía y las emisiones de gases de efecto invernadero (GEI) continuaron. En 2021, Fiserv expandió el alcance 3 de GEI (Scope 3 GHG) del reporte para incluir categorías más allá de viajes de negocios.</w:t>
      </w:r>
    </w:p>
    <w:p w:rsidR="00000000" w:rsidDel="00000000" w:rsidP="00000000" w:rsidRDefault="00000000" w:rsidRPr="00000000" w14:paraId="00000027">
      <w:pPr>
        <w:rPr>
          <w:rFonts w:ascii="Open Sans" w:cs="Open Sans" w:eastAsia="Open Sans" w:hAnsi="Open Sans"/>
        </w:rPr>
      </w:pPr>
      <w:r w:rsidDel="00000000" w:rsidR="00000000" w:rsidRPr="00000000">
        <w:rPr>
          <w:rFonts w:ascii="Open Sans" w:cs="Open Sans" w:eastAsia="Open Sans" w:hAnsi="Open Sans"/>
          <w:rtl w:val="0"/>
        </w:rPr>
        <w:t xml:space="preserve">En 2021, se reciclaron 250,000 toneladas cortas de papel, resultando en casi 375,000 libras de emisiones de</w:t>
      </w:r>
      <w:r w:rsidDel="00000000" w:rsidR="00000000" w:rsidRPr="00000000">
        <w:rPr>
          <w:rFonts w:ascii="Open Sans" w:cs="Open Sans" w:eastAsia="Open Sans" w:hAnsi="Open Sans"/>
          <w:color w:val="000000"/>
          <w:rtl w:val="0"/>
        </w:rPr>
        <w:t xml:space="preserve"> CO</w:t>
      </w:r>
      <w:r w:rsidDel="00000000" w:rsidR="00000000" w:rsidRPr="00000000">
        <w:rPr>
          <w:rFonts w:ascii="Open Sans" w:cs="Open Sans" w:eastAsia="Open Sans" w:hAnsi="Open Sans"/>
          <w:color w:val="000000"/>
          <w:vertAlign w:val="subscript"/>
          <w:rtl w:val="0"/>
        </w:rPr>
        <w:t xml:space="preserve">2  </w:t>
      </w:r>
      <w:r w:rsidDel="00000000" w:rsidR="00000000" w:rsidRPr="00000000">
        <w:rPr>
          <w:rFonts w:ascii="Open Sans" w:cs="Open Sans" w:eastAsia="Open Sans" w:hAnsi="Open Sans"/>
          <w:color w:val="000000"/>
          <w:rtl w:val="0"/>
        </w:rPr>
        <w:t xml:space="preserve">evitadas</w:t>
      </w:r>
      <w:r w:rsidDel="00000000" w:rsidR="00000000" w:rsidRPr="00000000">
        <w:rPr>
          <w:rFonts w:ascii="Open Sans" w:cs="Open Sans" w:eastAsia="Open Sans" w:hAnsi="Open Sans"/>
          <w:rtl w:val="0"/>
        </w:rPr>
        <w:t xml:space="preserve">, 1.3 millones de yardas cúbicas de espacio de vertedero conservado, 4.3 millones de árboles preservados, 7.1 millones de galones de agua ahorrados, y más de 585 millones de kWh de energía conservada.</w:t>
      </w:r>
    </w:p>
    <w:p w:rsidR="00000000" w:rsidDel="00000000" w:rsidP="00000000" w:rsidRDefault="00000000" w:rsidRPr="00000000" w14:paraId="00000028">
      <w:pPr>
        <w:rPr>
          <w:rFonts w:ascii="Open Sans" w:cs="Open Sans" w:eastAsia="Open Sans" w:hAnsi="Open Sans"/>
        </w:rPr>
      </w:pPr>
      <w:r w:rsidDel="00000000" w:rsidR="00000000" w:rsidRPr="00000000">
        <w:rPr>
          <w:rFonts w:ascii="Open Sans" w:cs="Open Sans" w:eastAsia="Open Sans" w:hAnsi="Open Sans"/>
          <w:rtl w:val="0"/>
        </w:rPr>
        <w:t xml:space="preserve">Fiserv ha progresado en la reducción de su huella de emisiones a través de la eliminación de operaciones redundantes en centros de datos y la salida del espacio inmobiliario. A la fecha, más de 30 centros de datos se han consolidado. Para todas las nuevas oficinas e instalaciones, la incorporación de principios de diseño de edificios ecológicos es una prioridad.</w:t>
      </w:r>
    </w:p>
    <w:p w:rsidR="00000000" w:rsidDel="00000000" w:rsidP="00000000" w:rsidRDefault="00000000" w:rsidRPr="00000000" w14:paraId="00000029">
      <w:pPr>
        <w:rPr>
          <w:rFonts w:ascii="Open Sans" w:cs="Open Sans" w:eastAsia="Open Sans" w:hAnsi="Open Sans"/>
          <w:b w:val="1"/>
        </w:rPr>
      </w:pPr>
      <w:r w:rsidDel="00000000" w:rsidR="00000000" w:rsidRPr="00000000">
        <w:rPr>
          <w:rFonts w:ascii="Open Sans" w:cs="Open Sans" w:eastAsia="Open Sans" w:hAnsi="Open Sans"/>
          <w:b w:val="1"/>
          <w:rtl w:val="0"/>
        </w:rPr>
        <w:t xml:space="preserve">Recursos Adicionales </w:t>
      </w:r>
    </w:p>
    <w:p w:rsidR="00000000" w:rsidDel="00000000" w:rsidP="00000000" w:rsidRDefault="00000000" w:rsidRPr="00000000" w14:paraId="0000002A">
      <w:pPr>
        <w:rPr>
          <w:rFonts w:ascii="Open Sans" w:cs="Open Sans" w:eastAsia="Open Sans" w:hAnsi="Open Sans"/>
        </w:rPr>
      </w:pPr>
      <w:r w:rsidDel="00000000" w:rsidR="00000000" w:rsidRPr="00000000">
        <w:rPr>
          <w:rFonts w:ascii="Open Sans" w:cs="Open Sans" w:eastAsia="Open Sans" w:hAnsi="Open Sans"/>
          <w:rtl w:val="0"/>
        </w:rPr>
        <w:t xml:space="preserve">Reporte de Responsabilidad Corporativa 2021 de Fiserv (en inglés):  </w:t>
      </w:r>
      <w:hyperlink r:id="rId15">
        <w:r w:rsidDel="00000000" w:rsidR="00000000" w:rsidRPr="00000000">
          <w:rPr>
            <w:rFonts w:ascii="Open Sans" w:cs="Open Sans" w:eastAsia="Open Sans" w:hAnsi="Open Sans"/>
            <w:color w:val="0563c1"/>
            <w:u w:val="single"/>
            <w:rtl w:val="0"/>
          </w:rPr>
          <w:t xml:space="preserve">https://fiserv-csrreport.com/</w:t>
        </w:r>
      </w:hyperlink>
      <w:r w:rsidDel="00000000" w:rsidR="00000000" w:rsidRPr="00000000">
        <w:rPr>
          <w:rtl w:val="0"/>
        </w:rPr>
      </w:r>
    </w:p>
    <w:p w:rsidR="00000000" w:rsidDel="00000000" w:rsidP="00000000" w:rsidRDefault="00000000" w:rsidRPr="00000000" w14:paraId="0000002B">
      <w:pPr>
        <w:rPr>
          <w:rFonts w:ascii="Open Sans" w:cs="Open Sans" w:eastAsia="Open Sans" w:hAnsi="Open Sans"/>
          <w:b w:val="1"/>
        </w:rPr>
      </w:pPr>
      <w:r w:rsidDel="00000000" w:rsidR="00000000" w:rsidRPr="00000000">
        <w:rPr>
          <w:rFonts w:ascii="Open Sans" w:cs="Open Sans" w:eastAsia="Open Sans" w:hAnsi="Open Sans"/>
          <w:b w:val="1"/>
          <w:rtl w:val="0"/>
        </w:rPr>
        <w:t xml:space="preserve">Acerca de Fiserv</w:t>
      </w:r>
    </w:p>
    <w:p w:rsidR="00000000" w:rsidDel="00000000" w:rsidP="00000000" w:rsidRDefault="00000000" w:rsidRPr="00000000" w14:paraId="0000002C">
      <w:pPr>
        <w:rPr>
          <w:rFonts w:ascii="Open Sans" w:cs="Open Sans" w:eastAsia="Open Sans" w:hAnsi="Open Sans"/>
        </w:rPr>
      </w:pPr>
      <w:r w:rsidDel="00000000" w:rsidR="00000000" w:rsidRPr="00000000">
        <w:rPr>
          <w:rFonts w:ascii="Open Sans" w:cs="Open Sans" w:eastAsia="Open Sans" w:hAnsi="Open Sans"/>
          <w:rtl w:val="0"/>
        </w:rPr>
        <w:t xml:space="preserve">Fiserv, Inc. (NASDAQ: FISV) aspira a mover dinero e información de una manera que mueva al mundo. Como líder mundial en pagos y tecnología financiera, la compañía ayuda a los clientes a lograr los mejores resultados a través de un compromiso con la innovación y la excelencia en áreas que incluyen procesamiento de cuentas y soluciones de banca digital; procesamiento de emisores de tarjetas y servicios de red; pagos; comercio electrónico; la adquirencia y procesamiento de comercios; y la plataforma de gestión de negocios y de punto de venta basada en la nube Clover®. Fiserv es miembro del Índice S&amp;P 500, FORTUNE® 500, y ha sido reconocida como una de las Compañías Más Admiradas del Mundo de FORTUNE® 500 en 11 de los últimos 14 años y nombrada entre las Compañías Más Innovadoras del Mundo por Fast Company por dos años consecutivos. Visite </w:t>
      </w:r>
      <w:hyperlink r:id="rId16">
        <w:r w:rsidDel="00000000" w:rsidR="00000000" w:rsidRPr="00000000">
          <w:rPr>
            <w:rFonts w:ascii="Open Sans" w:cs="Open Sans" w:eastAsia="Open Sans" w:hAnsi="Open Sans"/>
            <w:color w:val="0563c1"/>
            <w:u w:val="single"/>
            <w:rtl w:val="0"/>
          </w:rPr>
          <w:t xml:space="preserve">fiserv.com</w:t>
        </w:r>
      </w:hyperlink>
      <w:r w:rsidDel="00000000" w:rsidR="00000000" w:rsidRPr="00000000">
        <w:rPr>
          <w:rFonts w:ascii="Open Sans" w:cs="Open Sans" w:eastAsia="Open Sans" w:hAnsi="Open Sans"/>
          <w:rtl w:val="0"/>
        </w:rPr>
        <w:t xml:space="preserve"> y síganos en las </w:t>
      </w:r>
      <w:hyperlink r:id="rId17">
        <w:r w:rsidDel="00000000" w:rsidR="00000000" w:rsidRPr="00000000">
          <w:rPr>
            <w:rFonts w:ascii="Open Sans" w:cs="Open Sans" w:eastAsia="Open Sans" w:hAnsi="Open Sans"/>
            <w:color w:val="0563c1"/>
            <w:u w:val="single"/>
            <w:rtl w:val="0"/>
          </w:rPr>
          <w:t xml:space="preserve">redes sociales</w:t>
        </w:r>
      </w:hyperlink>
      <w:r w:rsidDel="00000000" w:rsidR="00000000" w:rsidRPr="00000000">
        <w:rPr>
          <w:rFonts w:ascii="Open Sans" w:cs="Open Sans" w:eastAsia="Open Sans" w:hAnsi="Open Sans"/>
          <w:rtl w:val="0"/>
        </w:rPr>
        <w:t xml:space="preserve"> para obtener más información y las últimas noticias de la compañía.</w:t>
      </w:r>
    </w:p>
    <w:p w:rsidR="00000000" w:rsidDel="00000000" w:rsidP="00000000" w:rsidRDefault="00000000" w:rsidRPr="00000000" w14:paraId="0000002D">
      <w:pPr>
        <w:rPr>
          <w:rFonts w:ascii="Open Sans" w:cs="Open Sans" w:eastAsia="Open Sans" w:hAnsi="Open Sans"/>
        </w:rPr>
      </w:pPr>
      <w:r w:rsidDel="00000000" w:rsidR="00000000" w:rsidRPr="00000000">
        <w:rPr>
          <w:rFonts w:ascii="Open Sans" w:cs="Open Sans" w:eastAsia="Open Sans" w:hAnsi="Open Sans"/>
          <w:rtl w:val="0"/>
        </w:rPr>
        <w:t xml:space="preserve">FISV-G </w:t>
      </w:r>
    </w:p>
    <w:p w:rsidR="00000000" w:rsidDel="00000000" w:rsidP="00000000" w:rsidRDefault="00000000" w:rsidRPr="00000000" w14:paraId="0000002E">
      <w:pPr>
        <w:rPr>
          <w:rFonts w:ascii="Open Sans" w:cs="Open Sans" w:eastAsia="Open Sans" w:hAnsi="Open Sans"/>
        </w:rPr>
      </w:pPr>
      <w:r w:rsidDel="00000000" w:rsidR="00000000" w:rsidRPr="00000000">
        <w:rPr>
          <w:rtl w:val="0"/>
        </w:rPr>
      </w:r>
    </w:p>
    <w:p w:rsidR="00000000" w:rsidDel="00000000" w:rsidP="00000000" w:rsidRDefault="00000000" w:rsidRPr="00000000" w14:paraId="0000002F">
      <w:pPr>
        <w:jc w:val="center"/>
        <w:rPr>
          <w:rFonts w:ascii="Open Sans" w:cs="Open Sans" w:eastAsia="Open Sans" w:hAnsi="Open Sans"/>
        </w:rPr>
      </w:pPr>
      <w:r w:rsidDel="00000000" w:rsidR="00000000" w:rsidRPr="00000000">
        <w:rPr>
          <w:rFonts w:ascii="Open Sans" w:cs="Open Sans" w:eastAsia="Open Sans" w:hAnsi="Open Sans"/>
          <w:rtl w:val="0"/>
        </w:rPr>
        <w:t xml:space="preserve">#   #   #</w:t>
      </w:r>
    </w:p>
    <w:p w:rsidR="00000000" w:rsidDel="00000000" w:rsidP="00000000" w:rsidRDefault="00000000" w:rsidRPr="00000000" w14:paraId="00000030">
      <w:pPr>
        <w:rPr/>
      </w:pP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63644" cy="803861"/>
          <wp:effectExtent b="0" l="0" r="0" t="0"/>
          <wp:docPr descr="Logo, company name&#10;&#10;Description automatically generated" id="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263644" cy="80386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4C47B6"/>
    <w:rPr>
      <w:color w:val="0563c1"/>
      <w:u w:val="single"/>
    </w:rPr>
  </w:style>
  <w:style w:type="character" w:styleId="HeadlineChar" w:customStyle="1">
    <w:name w:val="Headline Char"/>
    <w:basedOn w:val="DefaultParagraphFont"/>
    <w:link w:val="Headline"/>
    <w:locked w:val="1"/>
    <w:rsid w:val="004C47B6"/>
    <w:rPr>
      <w:rFonts w:ascii="Univers LT 45 Light" w:hAnsi="Univers LT 45 Light"/>
    </w:rPr>
  </w:style>
  <w:style w:type="paragraph" w:styleId="Headline" w:customStyle="1">
    <w:name w:val="Headline"/>
    <w:basedOn w:val="Normal"/>
    <w:link w:val="HeadlineChar"/>
    <w:rsid w:val="004C47B6"/>
    <w:pPr>
      <w:spacing w:after="0" w:line="240" w:lineRule="auto"/>
      <w:jc w:val="center"/>
    </w:pPr>
    <w:rPr>
      <w:rFonts w:ascii="Univers LT 45 Light" w:hAnsi="Univers LT 45 Light"/>
    </w:rPr>
  </w:style>
  <w:style w:type="character" w:styleId="BodyChar" w:customStyle="1">
    <w:name w:val="Body Char"/>
    <w:basedOn w:val="DefaultParagraphFont"/>
    <w:link w:val="Body"/>
    <w:locked w:val="1"/>
    <w:rsid w:val="004C47B6"/>
    <w:rPr>
      <w:rFonts w:ascii="Univers LT 45 Light" w:hAnsi="Univers LT 45 Light"/>
    </w:rPr>
  </w:style>
  <w:style w:type="paragraph" w:styleId="Body" w:customStyle="1">
    <w:name w:val="Body"/>
    <w:basedOn w:val="Normal"/>
    <w:link w:val="BodyChar"/>
    <w:rsid w:val="004C47B6"/>
    <w:pPr>
      <w:spacing w:after="0" w:line="240" w:lineRule="auto"/>
    </w:pPr>
    <w:rPr>
      <w:rFonts w:ascii="Univers LT 45 Light" w:hAnsi="Univers LT 45 Light"/>
    </w:rPr>
  </w:style>
  <w:style w:type="character" w:styleId="A4" w:customStyle="1">
    <w:name w:val="A4"/>
    <w:basedOn w:val="DefaultParagraphFont"/>
    <w:uiPriority w:val="99"/>
    <w:rsid w:val="004C47B6"/>
    <w:rPr>
      <w:rFonts w:ascii="Univers for Fiserv 45 Light" w:hAnsi="Univers for Fiserv 45 Light" w:hint="default"/>
      <w:color w:val="000000"/>
    </w:rPr>
  </w:style>
  <w:style w:type="character" w:styleId="UnresolvedMention">
    <w:name w:val="Unresolved Mention"/>
    <w:basedOn w:val="DefaultParagraphFont"/>
    <w:uiPriority w:val="99"/>
    <w:semiHidden w:val="1"/>
    <w:unhideWhenUsed w:val="1"/>
    <w:rsid w:val="00765640"/>
    <w:rPr>
      <w:color w:val="605e5c"/>
      <w:shd w:color="auto" w:fill="e1dfdd" w:val="clear"/>
    </w:rPr>
  </w:style>
  <w:style w:type="character" w:styleId="FollowedHyperlink">
    <w:name w:val="FollowedHyperlink"/>
    <w:basedOn w:val="DefaultParagraphFont"/>
    <w:uiPriority w:val="99"/>
    <w:semiHidden w:val="1"/>
    <w:unhideWhenUsed w:val="1"/>
    <w:rsid w:val="00893049"/>
    <w:rPr>
      <w:color w:val="954f72" w:themeColor="followedHyperlink"/>
      <w:u w:val="single"/>
    </w:rPr>
  </w:style>
  <w:style w:type="character" w:styleId="CommentReference">
    <w:name w:val="annotation reference"/>
    <w:basedOn w:val="DefaultParagraphFont"/>
    <w:uiPriority w:val="99"/>
    <w:semiHidden w:val="1"/>
    <w:unhideWhenUsed w:val="1"/>
    <w:rsid w:val="00636C94"/>
    <w:rPr>
      <w:sz w:val="16"/>
      <w:szCs w:val="16"/>
    </w:rPr>
  </w:style>
  <w:style w:type="paragraph" w:styleId="CommentText">
    <w:name w:val="annotation text"/>
    <w:basedOn w:val="Normal"/>
    <w:link w:val="CommentTextChar"/>
    <w:uiPriority w:val="99"/>
    <w:semiHidden w:val="1"/>
    <w:unhideWhenUsed w:val="1"/>
    <w:rsid w:val="00636C94"/>
    <w:pPr>
      <w:spacing w:line="240" w:lineRule="auto"/>
    </w:pPr>
    <w:rPr>
      <w:sz w:val="20"/>
      <w:szCs w:val="20"/>
    </w:rPr>
  </w:style>
  <w:style w:type="character" w:styleId="CommentTextChar" w:customStyle="1">
    <w:name w:val="Comment Text Char"/>
    <w:basedOn w:val="DefaultParagraphFont"/>
    <w:link w:val="CommentText"/>
    <w:uiPriority w:val="99"/>
    <w:semiHidden w:val="1"/>
    <w:rsid w:val="00636C94"/>
    <w:rPr>
      <w:sz w:val="20"/>
      <w:szCs w:val="20"/>
    </w:rPr>
  </w:style>
  <w:style w:type="paragraph" w:styleId="CommentSubject">
    <w:name w:val="annotation subject"/>
    <w:basedOn w:val="CommentText"/>
    <w:next w:val="CommentText"/>
    <w:link w:val="CommentSubjectChar"/>
    <w:uiPriority w:val="99"/>
    <w:semiHidden w:val="1"/>
    <w:unhideWhenUsed w:val="1"/>
    <w:rsid w:val="00636C94"/>
    <w:rPr>
      <w:b w:val="1"/>
      <w:bCs w:val="1"/>
    </w:rPr>
  </w:style>
  <w:style w:type="character" w:styleId="CommentSubjectChar" w:customStyle="1">
    <w:name w:val="Comment Subject Char"/>
    <w:basedOn w:val="CommentTextChar"/>
    <w:link w:val="CommentSubject"/>
    <w:uiPriority w:val="99"/>
    <w:semiHidden w:val="1"/>
    <w:rsid w:val="00636C94"/>
    <w:rPr>
      <w:b w:val="1"/>
      <w:bCs w:val="1"/>
      <w:sz w:val="20"/>
      <w:szCs w:val="20"/>
    </w:rPr>
  </w:style>
  <w:style w:type="paragraph" w:styleId="Header">
    <w:name w:val="header"/>
    <w:basedOn w:val="Normal"/>
    <w:link w:val="HeaderChar"/>
    <w:uiPriority w:val="99"/>
    <w:unhideWhenUsed w:val="1"/>
    <w:rsid w:val="00890AC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90ACC"/>
  </w:style>
  <w:style w:type="paragraph" w:styleId="Footer">
    <w:name w:val="footer"/>
    <w:basedOn w:val="Normal"/>
    <w:link w:val="FooterChar"/>
    <w:uiPriority w:val="99"/>
    <w:unhideWhenUsed w:val="1"/>
    <w:rsid w:val="00890AC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90ACC"/>
  </w:style>
  <w:style w:type="table" w:styleId="TableGrid">
    <w:name w:val="Table Grid"/>
    <w:basedOn w:val="TableNormal"/>
    <w:uiPriority w:val="39"/>
    <w:rsid w:val="00106FA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4">
    <w:name w:val="Plain Table 4"/>
    <w:basedOn w:val="TableNormal"/>
    <w:uiPriority w:val="44"/>
    <w:rsid w:val="005653AF"/>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3">
    <w:name w:val="Plain Table 3"/>
    <w:basedOn w:val="TableNormal"/>
    <w:uiPriority w:val="43"/>
    <w:rsid w:val="005653AF"/>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2">
    <w:name w:val="Plain Table 2"/>
    <w:basedOn w:val="TableNormal"/>
    <w:uiPriority w:val="42"/>
    <w:rsid w:val="005653AF"/>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1">
    <w:name w:val="Plain Table 1"/>
    <w:basedOn w:val="TableNormal"/>
    <w:uiPriority w:val="41"/>
    <w:rsid w:val="005653AF"/>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eGridLight">
    <w:name w:val="Grid Table Light"/>
    <w:basedOn w:val="TableNormal"/>
    <w:uiPriority w:val="40"/>
    <w:rsid w:val="005653AF"/>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ultivandosonrisas.com.co/en/" TargetMode="External"/><Relationship Id="rId10" Type="http://schemas.openxmlformats.org/officeDocument/2006/relationships/hyperlink" Target="https://www.fiserv.com/en/lp/back2business.html" TargetMode="External"/><Relationship Id="rId13" Type="http://schemas.openxmlformats.org/officeDocument/2006/relationships/hyperlink" Target="https://funpaee.org/" TargetMode="External"/><Relationship Id="rId12" Type="http://schemas.openxmlformats.org/officeDocument/2006/relationships/hyperlink" Target="https://www.nutreaunnino.org.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iserv.com/en/about-fiserv/diversity-inclusion/fiserv-salutes.html" TargetMode="External"/><Relationship Id="rId15" Type="http://schemas.openxmlformats.org/officeDocument/2006/relationships/hyperlink" Target="https://fiserv-csrreport.com/pdf/Fiserv-2021CSR.pdf" TargetMode="External"/><Relationship Id="rId14" Type="http://schemas.openxmlformats.org/officeDocument/2006/relationships/hyperlink" Target="https://www.fiserv.com/en/legal/modern-slavery-statement.html?rdf=/en/about-fiserv/uk-modern-slavery-act-statement.html&amp;rdc=2021-06-29&amp;rdr=2021-12-29" TargetMode="External"/><Relationship Id="rId17" Type="http://schemas.openxmlformats.org/officeDocument/2006/relationships/hyperlink" Target="https://www.fiserv.com/en/about-fiserv/social-media.html" TargetMode="External"/><Relationship Id="rId16" Type="http://schemas.openxmlformats.org/officeDocument/2006/relationships/hyperlink" Target="https://www.fiserv.co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www.fiserv.com/" TargetMode="External"/><Relationship Id="rId8" Type="http://schemas.openxmlformats.org/officeDocument/2006/relationships/hyperlink" Target="https://fiserv-csrreport.com/pdf/Fiserv-2021CSR.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Hw3TKhKcLQBGxylkaFCpWKcVJA==">AMUW2mWtocy4bwmT1HP2y0dyy0fu+hofb0nfAFO3iZQIzF5VFAKE0mnNxFBmLF2Zbt249FoSUKCaf99IHfcfm4hX7Ue0mTJvydvTm0rxrjP5GnCUgqLTDyM=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2022-05-17T16:23:00Z</dcterms:created>
  <dc:creator>Tello, Mariana (Brookfield)</dc:creator>
</cp:coreProperties>
</file>